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621B1" w14:textId="77777777" w:rsidR="00AB6A5D" w:rsidRDefault="00AB6A5D" w:rsidP="00AB6A5D">
      <w:pPr>
        <w:widowControl w:val="0"/>
      </w:pPr>
      <w:r w:rsidRPr="00663CF0">
        <w:rPr>
          <w:b/>
          <w:bCs/>
          <w:i/>
          <w:iCs/>
        </w:rPr>
        <w:t>Required regardless of</w:t>
      </w:r>
      <w:r>
        <w:rPr>
          <w:b/>
          <w:bCs/>
          <w:i/>
          <w:iCs/>
        </w:rPr>
        <w:t xml:space="preserve"> s</w:t>
      </w:r>
      <w:r w:rsidRPr="00663CF0">
        <w:rPr>
          <w:b/>
          <w:bCs/>
          <w:i/>
          <w:iCs/>
        </w:rPr>
        <w:t>tandard selected</w:t>
      </w:r>
      <w:r>
        <w:t xml:space="preserve">:  In addition </w:t>
      </w:r>
      <w:proofErr w:type="gramStart"/>
      <w:r>
        <w:t>to</w:t>
      </w:r>
      <w:proofErr w:type="gramEnd"/>
      <w:r>
        <w:t xml:space="preserve"> the migratory species list provided for criterion C above, provide a</w:t>
      </w:r>
      <w:r w:rsidRPr="009D046D">
        <w:t xml:space="preserve"> list </w:t>
      </w:r>
      <w:r>
        <w:t xml:space="preserve">of </w:t>
      </w:r>
      <w:r w:rsidRPr="009D046D">
        <w:t xml:space="preserve">all </w:t>
      </w:r>
      <w:r>
        <w:t xml:space="preserve">riverine/resident </w:t>
      </w:r>
      <w:r w:rsidRPr="009D046D">
        <w:t>fish species</w:t>
      </w:r>
      <w:r w:rsidRPr="007347FF">
        <w:t xml:space="preserve"> that occur now or have occurred historically a</w:t>
      </w:r>
      <w:r>
        <w:t>t</w:t>
      </w:r>
      <w:r w:rsidRPr="009D046D">
        <w:t xml:space="preserve"> the facility.</w:t>
      </w:r>
    </w:p>
    <w:p w14:paraId="37E74085" w14:textId="77777777" w:rsidR="00AB6A5D" w:rsidRDefault="00AB6A5D" w:rsidP="00AB6A5D">
      <w:pPr>
        <w:pStyle w:val="Caption"/>
        <w:outlineLvl w:val="2"/>
      </w:pPr>
      <w:bookmarkStart w:id="0" w:name="TB5"/>
      <w:bookmarkStart w:id="1" w:name="_Toc443043149"/>
      <w:bookmarkStart w:id="2" w:name="_Toc445221203"/>
      <w:bookmarkStart w:id="3" w:name="_Toc495407355"/>
      <w:bookmarkStart w:id="4" w:name="_Toc33607568"/>
      <w:bookmarkStart w:id="5" w:name="_Toc33607726"/>
      <w:bookmarkStart w:id="6" w:name="_Toc529887302"/>
      <w:bookmarkStart w:id="7" w:name="_Toc529888063"/>
      <w:bookmarkStart w:id="8" w:name="_GoBack"/>
      <w:r w:rsidRPr="00961877">
        <w:t xml:space="preserve">Table </w:t>
      </w:r>
      <w:r>
        <w:t>B</w:t>
      </w:r>
      <w:r w:rsidRPr="00961877">
        <w:noBreakHyphen/>
      </w:r>
      <w:r>
        <w:rPr>
          <w:noProof/>
        </w:rPr>
        <w:fldChar w:fldCharType="begin"/>
      </w:r>
      <w:r>
        <w:rPr>
          <w:noProof/>
        </w:rPr>
        <w:instrText xml:space="preserve"> SEQ Table \* ARABIC \s 1 </w:instrText>
      </w:r>
      <w:r>
        <w:rPr>
          <w:noProof/>
        </w:rPr>
        <w:fldChar w:fldCharType="separate"/>
      </w:r>
      <w:r>
        <w:rPr>
          <w:noProof/>
        </w:rPr>
        <w:t>5</w:t>
      </w:r>
      <w:r>
        <w:rPr>
          <w:noProof/>
        </w:rPr>
        <w:fldChar w:fldCharType="end"/>
      </w:r>
      <w:bookmarkEnd w:id="0"/>
      <w:r w:rsidRPr="00961877">
        <w:t xml:space="preserve">.  </w:t>
      </w:r>
      <w:r>
        <w:t>Information Required to Support Downstream Fish Passage Standards.</w:t>
      </w:r>
      <w:bookmarkEnd w:id="1"/>
      <w:bookmarkEnd w:id="2"/>
      <w:bookmarkEnd w:id="3"/>
      <w:bookmarkEnd w:id="4"/>
      <w:bookmarkEnd w:id="5"/>
      <w:bookmarkEnd w:id="6"/>
      <w:bookmarkEnd w:id="7"/>
    </w:p>
    <w:tbl>
      <w:tblPr>
        <w:tblStyle w:val="TableGrid"/>
        <w:tblW w:w="0" w:type="auto"/>
        <w:tblLook w:val="0660" w:firstRow="1" w:lastRow="1" w:firstColumn="0" w:lastColumn="0" w:noHBand="1" w:noVBand="1"/>
      </w:tblPr>
      <w:tblGrid>
        <w:gridCol w:w="1010"/>
        <w:gridCol w:w="1062"/>
        <w:gridCol w:w="7278"/>
      </w:tblGrid>
      <w:tr w:rsidR="00AB6A5D" w:rsidRPr="00AB5660" w14:paraId="0D2F7623" w14:textId="77777777" w:rsidTr="00F35153">
        <w:trPr>
          <w:cantSplit/>
          <w:tblHeader/>
        </w:trPr>
        <w:tc>
          <w:tcPr>
            <w:tcW w:w="1010" w:type="dxa"/>
          </w:tcPr>
          <w:bookmarkEnd w:id="8"/>
          <w:p w14:paraId="3DA2F127" w14:textId="77777777" w:rsidR="00AB6A5D" w:rsidRPr="00AB5660" w:rsidRDefault="00AB6A5D" w:rsidP="00F35153">
            <w:pPr>
              <w:widowControl w:val="0"/>
              <w:rPr>
                <w:b/>
                <w:i/>
              </w:rPr>
            </w:pPr>
            <w:r w:rsidRPr="00AB5660">
              <w:rPr>
                <w:b/>
                <w:i/>
              </w:rPr>
              <w:t>Criterion</w:t>
            </w:r>
          </w:p>
        </w:tc>
        <w:tc>
          <w:tcPr>
            <w:tcW w:w="1062" w:type="dxa"/>
          </w:tcPr>
          <w:p w14:paraId="2F0A3FE8" w14:textId="77777777" w:rsidR="00AB6A5D" w:rsidRPr="00AB5660" w:rsidRDefault="00AB6A5D" w:rsidP="00F35153">
            <w:pPr>
              <w:widowControl w:val="0"/>
              <w:rPr>
                <w:b/>
                <w:i/>
              </w:rPr>
            </w:pPr>
            <w:r w:rsidRPr="00AB5660">
              <w:rPr>
                <w:b/>
                <w:i/>
              </w:rPr>
              <w:t xml:space="preserve">Standard </w:t>
            </w:r>
          </w:p>
        </w:tc>
        <w:tc>
          <w:tcPr>
            <w:tcW w:w="7278" w:type="dxa"/>
          </w:tcPr>
          <w:p w14:paraId="37427FD9" w14:textId="77777777" w:rsidR="00AB6A5D" w:rsidRPr="00AB5660" w:rsidRDefault="00AB6A5D" w:rsidP="00F35153">
            <w:pPr>
              <w:widowControl w:val="0"/>
              <w:rPr>
                <w:b/>
                <w:i/>
              </w:rPr>
            </w:pPr>
            <w:r w:rsidRPr="00AB5660">
              <w:rPr>
                <w:b/>
                <w:i/>
              </w:rPr>
              <w:t>Instructions</w:t>
            </w:r>
          </w:p>
        </w:tc>
      </w:tr>
      <w:tr w:rsidR="00AB6A5D" w14:paraId="57A477B6" w14:textId="77777777" w:rsidTr="00F35153">
        <w:trPr>
          <w:cantSplit/>
        </w:trPr>
        <w:tc>
          <w:tcPr>
            <w:tcW w:w="1010" w:type="dxa"/>
          </w:tcPr>
          <w:p w14:paraId="70D3C912" w14:textId="77777777" w:rsidR="00AB6A5D" w:rsidRDefault="00AB6A5D" w:rsidP="00F35153">
            <w:pPr>
              <w:widowControl w:val="0"/>
              <w:jc w:val="center"/>
            </w:pPr>
            <w:r>
              <w:t>D</w:t>
            </w:r>
          </w:p>
        </w:tc>
        <w:tc>
          <w:tcPr>
            <w:tcW w:w="1062" w:type="dxa"/>
          </w:tcPr>
          <w:p w14:paraId="07D5A5C3" w14:textId="77777777" w:rsidR="00AB6A5D" w:rsidRDefault="00AB6A5D" w:rsidP="00F35153">
            <w:pPr>
              <w:widowControl w:val="0"/>
              <w:jc w:val="center"/>
            </w:pPr>
            <w:r>
              <w:t>1</w:t>
            </w:r>
          </w:p>
        </w:tc>
        <w:tc>
          <w:tcPr>
            <w:tcW w:w="7278" w:type="dxa"/>
          </w:tcPr>
          <w:p w14:paraId="2A44E4CF" w14:textId="77777777" w:rsidR="00AB6A5D" w:rsidRPr="00CD7CA0" w:rsidRDefault="00AB6A5D" w:rsidP="00F35153">
            <w:pPr>
              <w:widowControl w:val="0"/>
              <w:rPr>
                <w:u w:val="single"/>
              </w:rPr>
            </w:pPr>
            <w:r>
              <w:rPr>
                <w:u w:val="single"/>
              </w:rPr>
              <w:t>Not Applicable / De Minimis</w:t>
            </w:r>
            <w:r w:rsidRPr="00CD7CA0">
              <w:rPr>
                <w:u w:val="single"/>
              </w:rPr>
              <w:t xml:space="preserve"> Effect:</w:t>
            </w:r>
          </w:p>
          <w:p w14:paraId="300AB12B" w14:textId="77777777" w:rsidR="00AB6A5D" w:rsidRDefault="00AB6A5D" w:rsidP="00AB6A5D">
            <w:pPr>
              <w:pStyle w:val="ListParagraph"/>
              <w:widowControl w:val="0"/>
              <w:numPr>
                <w:ilvl w:val="0"/>
                <w:numId w:val="1"/>
              </w:numPr>
              <w:spacing w:after="0" w:line="240" w:lineRule="auto"/>
              <w:ind w:left="335" w:hanging="270"/>
            </w:pPr>
            <w:r>
              <w:t>Explain why the facility does not impose a barrier to downstream fish passage in the designated zone, considering both physical obstruction and increased mortality relative to natural downstream movement (e.g., entrainment into hydropower turbines).  Typically, tailwater/downstream zones will qualify for this standard since below a dam and powerhouse there is no facility barrier to further downstream movement. Bypassed reach zones must demonstrate that flows in the reach are adequate to support safe, effective and timely downstream migration.</w:t>
            </w:r>
          </w:p>
          <w:p w14:paraId="253B7B8A" w14:textId="77777777" w:rsidR="00AB6A5D" w:rsidRDefault="00AB6A5D" w:rsidP="00AB6A5D">
            <w:pPr>
              <w:pStyle w:val="ListParagraph"/>
              <w:widowControl w:val="0"/>
              <w:numPr>
                <w:ilvl w:val="0"/>
                <w:numId w:val="1"/>
              </w:numPr>
              <w:spacing w:after="0" w:line="240" w:lineRule="auto"/>
              <w:ind w:left="335" w:hanging="270"/>
            </w:pPr>
            <w:r>
              <w:t>For riverine fish populations that are known to move downstream, explain why the facility does not contribute adversely to the species populations or to their access to habitat necessary for successful completion of their life cycles.</w:t>
            </w:r>
          </w:p>
          <w:p w14:paraId="75FF2A75" w14:textId="77777777" w:rsidR="00AB6A5D" w:rsidRDefault="00AB6A5D" w:rsidP="00AB6A5D">
            <w:pPr>
              <w:pStyle w:val="ListParagraph"/>
              <w:widowControl w:val="0"/>
              <w:numPr>
                <w:ilvl w:val="0"/>
                <w:numId w:val="1"/>
              </w:numPr>
              <w:spacing w:after="0" w:line="240" w:lineRule="auto"/>
              <w:ind w:left="335" w:hanging="270"/>
            </w:pPr>
            <w:r>
              <w:t>Document available fish distribution data and the lack of fish species requiring passage in the vicinity.</w:t>
            </w:r>
          </w:p>
          <w:p w14:paraId="590CB5BA" w14:textId="77777777" w:rsidR="00AB6A5D" w:rsidRDefault="00AB6A5D" w:rsidP="00AB6A5D">
            <w:pPr>
              <w:pStyle w:val="ListParagraph"/>
              <w:widowControl w:val="0"/>
              <w:numPr>
                <w:ilvl w:val="0"/>
                <w:numId w:val="1"/>
              </w:numPr>
              <w:spacing w:after="0" w:line="240" w:lineRule="auto"/>
              <w:ind w:left="335" w:hanging="270"/>
            </w:pPr>
            <w:r>
              <w:t>If migratory fish species have been extirpated from the area, explain why the facility is not or was not the cause of the extirpation.</w:t>
            </w:r>
          </w:p>
        </w:tc>
      </w:tr>
      <w:tr w:rsidR="00AB6A5D" w14:paraId="2C37E79C" w14:textId="77777777" w:rsidTr="00F35153">
        <w:trPr>
          <w:cantSplit/>
        </w:trPr>
        <w:tc>
          <w:tcPr>
            <w:tcW w:w="1010" w:type="dxa"/>
          </w:tcPr>
          <w:p w14:paraId="5B916479" w14:textId="77777777" w:rsidR="00AB6A5D" w:rsidRDefault="00AB6A5D" w:rsidP="00F35153">
            <w:pPr>
              <w:widowControl w:val="0"/>
              <w:jc w:val="center"/>
            </w:pPr>
            <w:r>
              <w:t>D</w:t>
            </w:r>
          </w:p>
        </w:tc>
        <w:tc>
          <w:tcPr>
            <w:tcW w:w="1062" w:type="dxa"/>
          </w:tcPr>
          <w:p w14:paraId="73C84A40" w14:textId="77777777" w:rsidR="00AB6A5D" w:rsidRDefault="00AB6A5D" w:rsidP="00F35153">
            <w:pPr>
              <w:widowControl w:val="0"/>
              <w:jc w:val="center"/>
            </w:pPr>
            <w:r>
              <w:t>2</w:t>
            </w:r>
          </w:p>
        </w:tc>
        <w:tc>
          <w:tcPr>
            <w:tcW w:w="7278" w:type="dxa"/>
          </w:tcPr>
          <w:p w14:paraId="65D56059" w14:textId="77777777" w:rsidR="00AB6A5D" w:rsidRPr="00B17109" w:rsidRDefault="00AB6A5D" w:rsidP="00F35153">
            <w:pPr>
              <w:widowControl w:val="0"/>
              <w:rPr>
                <w:u w:val="single"/>
              </w:rPr>
            </w:pPr>
            <w:r w:rsidRPr="00B17109">
              <w:rPr>
                <w:u w:val="single"/>
              </w:rPr>
              <w:t>Agency Recommendation:</w:t>
            </w:r>
          </w:p>
          <w:p w14:paraId="45DE3423" w14:textId="77777777" w:rsidR="00AB6A5D" w:rsidRDefault="00AB6A5D" w:rsidP="00AB6A5D">
            <w:pPr>
              <w:pStyle w:val="ListParagraph"/>
              <w:widowControl w:val="0"/>
              <w:numPr>
                <w:ilvl w:val="0"/>
                <w:numId w:val="1"/>
              </w:numPr>
              <w:spacing w:after="0" w:line="240" w:lineRule="auto"/>
              <w:ind w:left="335" w:hanging="270"/>
            </w:pPr>
            <w:r>
              <w:t>Identify the proceeding and source, date, and specifics of the agency recommendation applied (NOTE: there may be more than one; identify and explain which is most environmentally protective).</w:t>
            </w:r>
          </w:p>
          <w:p w14:paraId="7882FB94" w14:textId="77777777" w:rsidR="00AB6A5D" w:rsidRDefault="00AB6A5D" w:rsidP="00AB6A5D">
            <w:pPr>
              <w:pStyle w:val="ListParagraph"/>
              <w:widowControl w:val="0"/>
              <w:numPr>
                <w:ilvl w:val="0"/>
                <w:numId w:val="1"/>
              </w:numPr>
              <w:spacing w:after="0" w:line="240" w:lineRule="auto"/>
              <w:ind w:left="335" w:hanging="270"/>
            </w:pPr>
            <w:r>
              <w:t>Explain the scientific or technical basis for the agency recommendation, including methods and data used.  This is required regardless of whether the recommendation is part of a Settlement Agreement or not.</w:t>
            </w:r>
          </w:p>
          <w:p w14:paraId="53FA46F0" w14:textId="77777777" w:rsidR="00AB6A5D" w:rsidRDefault="00AB6A5D" w:rsidP="00AB6A5D">
            <w:pPr>
              <w:pStyle w:val="ListParagraph"/>
              <w:widowControl w:val="0"/>
              <w:numPr>
                <w:ilvl w:val="0"/>
                <w:numId w:val="1"/>
              </w:numPr>
              <w:spacing w:after="0" w:line="240" w:lineRule="auto"/>
              <w:ind w:left="335" w:hanging="270"/>
            </w:pPr>
            <w:r>
              <w:t>Describe any provisions for fish passage monitoring or effectiveness determinations that are part of the agency recommendation, and how these are being implemented.</w:t>
            </w:r>
          </w:p>
          <w:p w14:paraId="43804DDD" w14:textId="77777777" w:rsidR="00AB6A5D" w:rsidRDefault="00AB6A5D" w:rsidP="00AB6A5D">
            <w:pPr>
              <w:pStyle w:val="ListParagraph"/>
              <w:widowControl w:val="0"/>
              <w:numPr>
                <w:ilvl w:val="0"/>
                <w:numId w:val="1"/>
              </w:numPr>
              <w:spacing w:after="0" w:line="240" w:lineRule="auto"/>
              <w:ind w:left="335" w:hanging="270"/>
            </w:pPr>
            <w:r w:rsidRPr="00F635FC">
              <w:t xml:space="preserve">Provide evidence that required passage facilities are being </w:t>
            </w:r>
            <w:r>
              <w:t>operated</w:t>
            </w:r>
            <w:r w:rsidRPr="00F635FC">
              <w:t xml:space="preserve"> and maintained as mandated (e.g. meets season, coordination with agencies)</w:t>
            </w:r>
          </w:p>
        </w:tc>
      </w:tr>
      <w:tr w:rsidR="00AB6A5D" w14:paraId="41DD32D5" w14:textId="77777777" w:rsidTr="00F35153">
        <w:trPr>
          <w:cantSplit/>
        </w:trPr>
        <w:tc>
          <w:tcPr>
            <w:tcW w:w="1010" w:type="dxa"/>
          </w:tcPr>
          <w:p w14:paraId="77BD1AB8" w14:textId="77777777" w:rsidR="00AB6A5D" w:rsidRDefault="00AB6A5D" w:rsidP="00F35153">
            <w:pPr>
              <w:widowControl w:val="0"/>
              <w:jc w:val="center"/>
            </w:pPr>
            <w:r>
              <w:lastRenderedPageBreak/>
              <w:t>D</w:t>
            </w:r>
          </w:p>
        </w:tc>
        <w:tc>
          <w:tcPr>
            <w:tcW w:w="1062" w:type="dxa"/>
          </w:tcPr>
          <w:p w14:paraId="2CB6F6E3" w14:textId="77777777" w:rsidR="00AB6A5D" w:rsidRDefault="00AB6A5D" w:rsidP="00F35153">
            <w:pPr>
              <w:widowControl w:val="0"/>
              <w:jc w:val="center"/>
            </w:pPr>
            <w:r>
              <w:t>3</w:t>
            </w:r>
          </w:p>
        </w:tc>
        <w:tc>
          <w:tcPr>
            <w:tcW w:w="7278" w:type="dxa"/>
          </w:tcPr>
          <w:p w14:paraId="022A27A1" w14:textId="77777777" w:rsidR="00AB6A5D" w:rsidRPr="00407D7A" w:rsidRDefault="00AB6A5D" w:rsidP="00F35153">
            <w:pPr>
              <w:widowControl w:val="0"/>
              <w:rPr>
                <w:u w:val="single"/>
              </w:rPr>
            </w:pPr>
            <w:r w:rsidRPr="00407D7A">
              <w:rPr>
                <w:u w:val="single"/>
              </w:rPr>
              <w:t>Best Practice / Best Available Technology:</w:t>
            </w:r>
          </w:p>
          <w:p w14:paraId="263EF1B4" w14:textId="77777777" w:rsidR="00AB6A5D" w:rsidRDefault="00AB6A5D" w:rsidP="00AB6A5D">
            <w:pPr>
              <w:pStyle w:val="ListParagraph"/>
              <w:widowControl w:val="0"/>
              <w:numPr>
                <w:ilvl w:val="0"/>
                <w:numId w:val="1"/>
              </w:numPr>
              <w:spacing w:after="0" w:line="240" w:lineRule="auto"/>
              <w:ind w:left="335" w:hanging="270"/>
            </w:pPr>
            <w:r>
              <w:t>Describe the downstream fish passage technologies that have been deployed and are in operation and justify why they qualify as best practices or best available technology.</w:t>
            </w:r>
          </w:p>
          <w:p w14:paraId="57CB524B" w14:textId="77777777" w:rsidR="00AB6A5D" w:rsidRDefault="00AB6A5D" w:rsidP="00AB6A5D">
            <w:pPr>
              <w:pStyle w:val="ListParagraph"/>
              <w:widowControl w:val="0"/>
              <w:numPr>
                <w:ilvl w:val="0"/>
                <w:numId w:val="1"/>
              </w:numPr>
              <w:spacing w:after="0" w:line="240" w:lineRule="auto"/>
              <w:ind w:left="335" w:hanging="270"/>
            </w:pPr>
            <w:r>
              <w:t>Explain how the downstream fish passage facilities provide adequate and safe passage for fish species that are present and require passage.</w:t>
            </w:r>
          </w:p>
          <w:p w14:paraId="2E20F82A" w14:textId="77777777" w:rsidR="00AB6A5D" w:rsidRDefault="00AB6A5D" w:rsidP="00AB6A5D">
            <w:pPr>
              <w:pStyle w:val="ListParagraph"/>
              <w:widowControl w:val="0"/>
              <w:numPr>
                <w:ilvl w:val="0"/>
                <w:numId w:val="1"/>
              </w:numPr>
              <w:spacing w:after="0" w:line="240" w:lineRule="auto"/>
              <w:ind w:left="335" w:hanging="270"/>
            </w:pPr>
            <w:r>
              <w:t>Describe the monitoring and effectiveness activities that have been or are being conducted for the downstream passage facilities.</w:t>
            </w:r>
          </w:p>
        </w:tc>
      </w:tr>
      <w:tr w:rsidR="00AB6A5D" w14:paraId="6C59AD44" w14:textId="77777777" w:rsidTr="00F35153">
        <w:trPr>
          <w:cantSplit/>
        </w:trPr>
        <w:tc>
          <w:tcPr>
            <w:tcW w:w="1010" w:type="dxa"/>
          </w:tcPr>
          <w:p w14:paraId="5DF3EB78" w14:textId="77777777" w:rsidR="00AB6A5D" w:rsidRDefault="00AB6A5D" w:rsidP="00F35153">
            <w:pPr>
              <w:widowControl w:val="0"/>
              <w:jc w:val="center"/>
            </w:pPr>
            <w:r>
              <w:t>D</w:t>
            </w:r>
          </w:p>
        </w:tc>
        <w:tc>
          <w:tcPr>
            <w:tcW w:w="1062" w:type="dxa"/>
          </w:tcPr>
          <w:p w14:paraId="719D4F7B" w14:textId="77777777" w:rsidR="00AB6A5D" w:rsidRDefault="00AB6A5D" w:rsidP="00F35153">
            <w:pPr>
              <w:widowControl w:val="0"/>
              <w:jc w:val="center"/>
            </w:pPr>
            <w:r>
              <w:t>4</w:t>
            </w:r>
          </w:p>
        </w:tc>
        <w:tc>
          <w:tcPr>
            <w:tcW w:w="7278" w:type="dxa"/>
          </w:tcPr>
          <w:p w14:paraId="3AFF094F" w14:textId="77777777" w:rsidR="00AB6A5D" w:rsidRPr="00407D7A" w:rsidRDefault="00AB6A5D" w:rsidP="00F35153">
            <w:pPr>
              <w:widowControl w:val="0"/>
              <w:rPr>
                <w:u w:val="single"/>
              </w:rPr>
            </w:pPr>
            <w:r>
              <w:rPr>
                <w:u w:val="single"/>
              </w:rPr>
              <w:t>Acceptable</w:t>
            </w:r>
            <w:r w:rsidRPr="00407D7A">
              <w:rPr>
                <w:u w:val="single"/>
              </w:rPr>
              <w:t xml:space="preserve"> Mitigation:</w:t>
            </w:r>
          </w:p>
          <w:p w14:paraId="6514FDA1" w14:textId="77777777" w:rsidR="00AB6A5D" w:rsidRDefault="00AB6A5D" w:rsidP="00AB6A5D">
            <w:pPr>
              <w:pStyle w:val="ListParagraph"/>
              <w:widowControl w:val="0"/>
              <w:numPr>
                <w:ilvl w:val="0"/>
                <w:numId w:val="1"/>
              </w:numPr>
              <w:spacing w:after="0" w:line="240" w:lineRule="auto"/>
              <w:ind w:left="335" w:hanging="270"/>
            </w:pPr>
            <w:r>
              <w:t>Describe the alternative mitigation measures being deployed in lieu of downstream fish passage and/or protection strategies and provide documentation of agency approval of the measures.</w:t>
            </w:r>
          </w:p>
          <w:p w14:paraId="7152F2D6" w14:textId="77777777" w:rsidR="00AB6A5D" w:rsidRDefault="00AB6A5D" w:rsidP="00AB6A5D">
            <w:pPr>
              <w:pStyle w:val="ListParagraph"/>
              <w:widowControl w:val="0"/>
              <w:numPr>
                <w:ilvl w:val="0"/>
                <w:numId w:val="1"/>
              </w:numPr>
              <w:spacing w:after="0" w:line="240" w:lineRule="auto"/>
              <w:ind w:left="335" w:hanging="270"/>
            </w:pPr>
            <w:r>
              <w:t>Explain how the total benefits of the mitigation strategy equals or exceeds the benefits that might accrue from providing downstream passage in terms of reproductive success (e.g., numbers of fish produced, or area of suitable habitat provided).</w:t>
            </w:r>
          </w:p>
          <w:p w14:paraId="163AE46B" w14:textId="77777777" w:rsidR="00AB6A5D" w:rsidRDefault="00AB6A5D" w:rsidP="00AB6A5D">
            <w:pPr>
              <w:pStyle w:val="ListParagraph"/>
              <w:widowControl w:val="0"/>
              <w:numPr>
                <w:ilvl w:val="0"/>
                <w:numId w:val="1"/>
              </w:numPr>
              <w:spacing w:after="0" w:line="240" w:lineRule="auto"/>
              <w:ind w:left="335" w:hanging="270"/>
            </w:pPr>
            <w:r>
              <w:t>Explain how the alternative mitigation measures sustain the abundance and diversity of fish stocks in the river system.</w:t>
            </w:r>
          </w:p>
        </w:tc>
      </w:tr>
      <w:tr w:rsidR="00AB6A5D" w14:paraId="7BF73805" w14:textId="77777777" w:rsidTr="00F35153">
        <w:trPr>
          <w:cantSplit/>
        </w:trPr>
        <w:tc>
          <w:tcPr>
            <w:tcW w:w="1010" w:type="dxa"/>
          </w:tcPr>
          <w:p w14:paraId="47590615" w14:textId="77777777" w:rsidR="00AB6A5D" w:rsidRDefault="00AB6A5D" w:rsidP="00F35153">
            <w:pPr>
              <w:widowControl w:val="0"/>
              <w:jc w:val="center"/>
            </w:pPr>
            <w:r>
              <w:t>D</w:t>
            </w:r>
          </w:p>
        </w:tc>
        <w:tc>
          <w:tcPr>
            <w:tcW w:w="1062" w:type="dxa"/>
          </w:tcPr>
          <w:p w14:paraId="3D4B418D" w14:textId="77777777" w:rsidR="00AB6A5D" w:rsidRDefault="00AB6A5D" w:rsidP="00F35153">
            <w:pPr>
              <w:widowControl w:val="0"/>
              <w:jc w:val="center"/>
            </w:pPr>
            <w:r>
              <w:t>PLUS</w:t>
            </w:r>
          </w:p>
        </w:tc>
        <w:tc>
          <w:tcPr>
            <w:tcW w:w="7278" w:type="dxa"/>
          </w:tcPr>
          <w:p w14:paraId="0B1E839C" w14:textId="77777777" w:rsidR="00AB6A5D" w:rsidRDefault="00AB6A5D" w:rsidP="00F35153">
            <w:pPr>
              <w:widowControl w:val="0"/>
              <w:rPr>
                <w:u w:val="single"/>
              </w:rPr>
            </w:pPr>
            <w:r w:rsidRPr="00B17109">
              <w:rPr>
                <w:u w:val="single"/>
              </w:rPr>
              <w:t>Bonus Activities:</w:t>
            </w:r>
          </w:p>
          <w:p w14:paraId="2CABB2CB" w14:textId="77777777" w:rsidR="00AB6A5D" w:rsidRDefault="00AB6A5D" w:rsidP="00AB6A5D">
            <w:pPr>
              <w:pStyle w:val="ListParagraph"/>
              <w:widowControl w:val="0"/>
              <w:numPr>
                <w:ilvl w:val="0"/>
                <w:numId w:val="1"/>
              </w:numPr>
              <w:spacing w:after="0" w:line="240" w:lineRule="auto"/>
              <w:ind w:left="335" w:hanging="270"/>
            </w:pPr>
            <w:r>
              <w:t>If advanced technology has been or will be deployed, explain how it will increase fish passage success relative to other options.</w:t>
            </w:r>
          </w:p>
          <w:p w14:paraId="51F6D549" w14:textId="77777777" w:rsidR="00AB6A5D" w:rsidRDefault="00AB6A5D" w:rsidP="00AB6A5D">
            <w:pPr>
              <w:pStyle w:val="ListParagraph"/>
              <w:widowControl w:val="0"/>
              <w:numPr>
                <w:ilvl w:val="0"/>
                <w:numId w:val="1"/>
              </w:numPr>
              <w:spacing w:after="0" w:line="240" w:lineRule="auto"/>
              <w:ind w:left="335" w:hanging="270"/>
            </w:pPr>
            <w:r>
              <w:t>If a basin-scale redevelopment strategy is being pursued, explain how it will increase the abundance and sustainability of migratory fish species in the river system.</w:t>
            </w:r>
          </w:p>
          <w:p w14:paraId="05612C90" w14:textId="77777777" w:rsidR="00AB6A5D" w:rsidRDefault="00AB6A5D" w:rsidP="00AB6A5D">
            <w:pPr>
              <w:pStyle w:val="ListParagraph"/>
              <w:widowControl w:val="0"/>
              <w:numPr>
                <w:ilvl w:val="0"/>
                <w:numId w:val="1"/>
              </w:numPr>
              <w:spacing w:after="0" w:line="240" w:lineRule="auto"/>
              <w:ind w:left="335" w:hanging="270"/>
            </w:pPr>
            <w:r>
              <w:t>If adaptive management is being applied, describe the management objectives, the monitoring program pursuant to evaluating performance against those objectives, and the management actions that will be taken in response to monitoring results.</w:t>
            </w:r>
          </w:p>
        </w:tc>
      </w:tr>
    </w:tbl>
    <w:p w14:paraId="562D225C" w14:textId="77777777" w:rsidR="00AB6A5D" w:rsidRDefault="00AB6A5D" w:rsidP="00AB6A5D">
      <w:pPr>
        <w:widowControl w:val="0"/>
      </w:pPr>
    </w:p>
    <w:p w14:paraId="582687B7" w14:textId="77777777" w:rsidR="007F2B5F" w:rsidRPr="00AB6A5D" w:rsidRDefault="007F2B5F" w:rsidP="00AB6A5D"/>
    <w:sectPr w:rsidR="007F2B5F" w:rsidRPr="00AB6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4043" w14:textId="77777777" w:rsidR="003C598D" w:rsidRDefault="003C598D" w:rsidP="00180264">
      <w:r>
        <w:separator/>
      </w:r>
    </w:p>
  </w:endnote>
  <w:endnote w:type="continuationSeparator" w:id="0">
    <w:p w14:paraId="499908A1" w14:textId="77777777" w:rsidR="003C598D" w:rsidRDefault="003C598D" w:rsidP="0018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B633" w14:textId="0B357ED7" w:rsidR="00180264" w:rsidRDefault="00180264">
    <w:pPr>
      <w:pStyle w:val="Footer"/>
    </w:pPr>
    <w:r>
      <w:rPr>
        <w:rStyle w:val="PageNumber"/>
        <w:b/>
        <w:sz w:val="20"/>
      </w:rPr>
      <w:t>LIHI Handbook 2</w:t>
    </w:r>
    <w:r w:rsidRPr="003E3FC2">
      <w:rPr>
        <w:rStyle w:val="PageNumber"/>
        <w:b/>
        <w:sz w:val="20"/>
        <w:vertAlign w:val="superscript"/>
      </w:rPr>
      <w:t>nd</w:t>
    </w:r>
    <w:r>
      <w:rPr>
        <w:rStyle w:val="PageNumber"/>
        <w:b/>
        <w:sz w:val="20"/>
      </w:rPr>
      <w:t xml:space="preserve"> Edition – Revision 2.04, April 1, 2020</w:t>
    </w:r>
    <w:r>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78F67" w14:textId="77777777" w:rsidR="003C598D" w:rsidRDefault="003C598D" w:rsidP="00180264">
      <w:r>
        <w:separator/>
      </w:r>
    </w:p>
  </w:footnote>
  <w:footnote w:type="continuationSeparator" w:id="0">
    <w:p w14:paraId="6DECFCFD" w14:textId="77777777" w:rsidR="003C598D" w:rsidRDefault="003C598D" w:rsidP="0018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B7907"/>
    <w:multiLevelType w:val="hybridMultilevel"/>
    <w:tmpl w:val="366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A24FA"/>
    <w:multiLevelType w:val="hybridMultilevel"/>
    <w:tmpl w:val="7D2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C75FA"/>
    <w:multiLevelType w:val="hybridMultilevel"/>
    <w:tmpl w:val="9446A5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64"/>
    <w:rsid w:val="00180264"/>
    <w:rsid w:val="00267441"/>
    <w:rsid w:val="003C598D"/>
    <w:rsid w:val="00635393"/>
    <w:rsid w:val="007A1CD0"/>
    <w:rsid w:val="007C7BE4"/>
    <w:rsid w:val="007F2B5F"/>
    <w:rsid w:val="00884DC8"/>
    <w:rsid w:val="00AB6A5D"/>
    <w:rsid w:val="00FB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70E8"/>
  <w15:chartTrackingRefBased/>
  <w15:docId w15:val="{C5918C0C-5929-4102-8C60-F6762FDC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A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93"/>
    <w:pPr>
      <w:ind w:left="720"/>
      <w:contextualSpacing/>
    </w:pPr>
  </w:style>
  <w:style w:type="paragraph" w:styleId="NoSpacing">
    <w:name w:val="No Spacing"/>
    <w:uiPriority w:val="1"/>
    <w:qFormat/>
    <w:rsid w:val="00635393"/>
  </w:style>
  <w:style w:type="table" w:styleId="TableGrid">
    <w:name w:val="Table Grid"/>
    <w:basedOn w:val="TableNormal"/>
    <w:uiPriority w:val="39"/>
    <w:rsid w:val="0018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264"/>
    <w:pPr>
      <w:tabs>
        <w:tab w:val="center" w:pos="4680"/>
        <w:tab w:val="right" w:pos="9360"/>
      </w:tabs>
    </w:pPr>
  </w:style>
  <w:style w:type="character" w:customStyle="1" w:styleId="HeaderChar">
    <w:name w:val="Header Char"/>
    <w:basedOn w:val="DefaultParagraphFont"/>
    <w:link w:val="Header"/>
    <w:uiPriority w:val="99"/>
    <w:rsid w:val="00180264"/>
  </w:style>
  <w:style w:type="paragraph" w:styleId="Footer">
    <w:name w:val="footer"/>
    <w:basedOn w:val="Normal"/>
    <w:link w:val="FooterChar"/>
    <w:uiPriority w:val="99"/>
    <w:unhideWhenUsed/>
    <w:rsid w:val="00180264"/>
    <w:pPr>
      <w:tabs>
        <w:tab w:val="center" w:pos="4680"/>
        <w:tab w:val="right" w:pos="9360"/>
      </w:tabs>
    </w:pPr>
  </w:style>
  <w:style w:type="character" w:customStyle="1" w:styleId="FooterChar">
    <w:name w:val="Footer Char"/>
    <w:basedOn w:val="DefaultParagraphFont"/>
    <w:link w:val="Footer"/>
    <w:uiPriority w:val="99"/>
    <w:rsid w:val="00180264"/>
  </w:style>
  <w:style w:type="character" w:styleId="PageNumber">
    <w:name w:val="page number"/>
    <w:basedOn w:val="DefaultParagraphFont"/>
    <w:uiPriority w:val="99"/>
    <w:semiHidden/>
    <w:unhideWhenUsed/>
    <w:rsid w:val="00180264"/>
  </w:style>
  <w:style w:type="paragraph" w:styleId="Caption">
    <w:name w:val="caption"/>
    <w:aliases w:val="Table Caption"/>
    <w:basedOn w:val="Normal"/>
    <w:next w:val="Normal"/>
    <w:link w:val="CaptionChar"/>
    <w:uiPriority w:val="35"/>
    <w:unhideWhenUsed/>
    <w:qFormat/>
    <w:rsid w:val="00FB0EF5"/>
    <w:pPr>
      <w:widowControl w:val="0"/>
    </w:pPr>
    <w:rPr>
      <w:b/>
      <w:bCs/>
    </w:rPr>
  </w:style>
  <w:style w:type="character" w:customStyle="1" w:styleId="CaptionChar">
    <w:name w:val="Caption Char"/>
    <w:aliases w:val="Table Caption Char"/>
    <w:basedOn w:val="DefaultParagraphFont"/>
    <w:link w:val="Caption"/>
    <w:uiPriority w:val="35"/>
    <w:rsid w:val="00FB0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3225</Characters>
  <Application>Microsoft Office Word</Application>
  <DocSecurity>0</DocSecurity>
  <Lines>134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Maryalice Fischer</dc:creator>
  <cp:keywords/>
  <dc:description/>
  <cp:lastModifiedBy>Maryalice Fischer</cp:lastModifiedBy>
  <cp:revision>2</cp:revision>
  <dcterms:created xsi:type="dcterms:W3CDTF">2020-03-19T17:29:00Z</dcterms:created>
  <dcterms:modified xsi:type="dcterms:W3CDTF">2020-03-19T17:29:00Z</dcterms:modified>
</cp:coreProperties>
</file>